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40" w:rsidRDefault="00F07340" w:rsidP="00F07340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17</w:t>
      </w:r>
    </w:p>
    <w:p w:rsidR="00F07340" w:rsidRDefault="00F07340" w:rsidP="00F07340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F07340" w:rsidRPr="00FF2421" w:rsidTr="002F0348">
        <w:tc>
          <w:tcPr>
            <w:tcW w:w="9211" w:type="dxa"/>
            <w:shd w:val="clear" w:color="auto" w:fill="EEECE1"/>
          </w:tcPr>
          <w:p w:rsidR="00F07340" w:rsidRPr="00FF2421" w:rsidRDefault="00F07340" w:rsidP="002F0348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F07340" w:rsidRPr="00FF2421" w:rsidRDefault="00F07340" w:rsidP="002F0348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F07340" w:rsidRPr="00FF2421" w:rsidRDefault="00F07340" w:rsidP="00F07340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11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03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15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F07340" w:rsidRPr="002357DB" w:rsidRDefault="00F07340" w:rsidP="00CF29EC">
      <w:pPr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07340" w:rsidRPr="00FF2421" w:rsidTr="002F0348">
        <w:tc>
          <w:tcPr>
            <w:tcW w:w="9211" w:type="dxa"/>
            <w:shd w:val="clear" w:color="auto" w:fill="auto"/>
          </w:tcPr>
          <w:p w:rsidR="00CF29EC" w:rsidRPr="00FF2421" w:rsidRDefault="00F07340" w:rsidP="002F0348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F07340" w:rsidRPr="00F07340" w:rsidRDefault="00F07340" w:rsidP="00F07340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>1. Publicações na Vivências.</w:t>
            </w:r>
          </w:p>
          <w:p w:rsidR="00F07340" w:rsidRPr="00F07340" w:rsidRDefault="00F07340" w:rsidP="00F07340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>2. Avaliação das atividades realizadas</w:t>
            </w:r>
          </w:p>
          <w:p w:rsidR="00F07340" w:rsidRPr="00F07340" w:rsidRDefault="00F07340" w:rsidP="00F07340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 xml:space="preserve">3. Questionário para aplicação aos </w:t>
            </w:r>
            <w:proofErr w:type="spellStart"/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>ex</w:t>
            </w:r>
            <w:proofErr w:type="spellEnd"/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 xml:space="preserve"> alunos para avaliação das competências mais</w:t>
            </w:r>
          </w:p>
          <w:p w:rsidR="00F07340" w:rsidRPr="00F07340" w:rsidRDefault="00F07340" w:rsidP="00F07340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proofErr w:type="gramStart"/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>valorizadas</w:t>
            </w:r>
            <w:proofErr w:type="gramEnd"/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 xml:space="preserve"> no mercado de trabalho.</w:t>
            </w:r>
          </w:p>
          <w:p w:rsidR="00CF29EC" w:rsidRPr="00CF29EC" w:rsidRDefault="00F07340" w:rsidP="00F07340">
            <w:p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 w:rsidRPr="00F07340">
              <w:rPr>
                <w:rFonts w:ascii="Calibri" w:hAnsi="Calibri" w:cs="Calibri"/>
                <w:color w:val="2F2B20"/>
                <w:sz w:val="24"/>
                <w:szCs w:val="24"/>
              </w:rPr>
              <w:t>4. Fardamento</w:t>
            </w:r>
          </w:p>
        </w:tc>
      </w:tr>
    </w:tbl>
    <w:p w:rsidR="00F07340" w:rsidRPr="003B61E9" w:rsidRDefault="00F07340" w:rsidP="002357DB">
      <w:pPr>
        <w:jc w:val="center"/>
        <w:rPr>
          <w:rFonts w:ascii="Calibri" w:hAnsi="Calibri" w:cs="Kokila"/>
          <w:sz w:val="12"/>
          <w:szCs w:val="24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07340" w:rsidRPr="00FF2421" w:rsidTr="002F0348">
        <w:tc>
          <w:tcPr>
            <w:tcW w:w="9211" w:type="dxa"/>
            <w:shd w:val="clear" w:color="auto" w:fill="auto"/>
          </w:tcPr>
          <w:bookmarkEnd w:id="0"/>
          <w:p w:rsidR="00F07340" w:rsidRPr="00FF2421" w:rsidRDefault="00F07340" w:rsidP="00CF29EC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F07340" w:rsidRPr="00CF29EC" w:rsidRDefault="00F07340" w:rsidP="00CF29EC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CF29EC">
              <w:rPr>
                <w:rFonts w:cs="Arial"/>
                <w:szCs w:val="24"/>
              </w:rPr>
              <w:t xml:space="preserve">Foram tratados os assuntos relativos à publicação e recolha de testemunhos de </w:t>
            </w:r>
            <w:proofErr w:type="spellStart"/>
            <w:r w:rsidRPr="00CF29EC">
              <w:rPr>
                <w:rFonts w:cs="Arial"/>
                <w:szCs w:val="24"/>
              </w:rPr>
              <w:t>ex</w:t>
            </w:r>
            <w:proofErr w:type="spellEnd"/>
            <w:r w:rsidRPr="00CF29EC">
              <w:rPr>
                <w:rFonts w:cs="Arial"/>
                <w:szCs w:val="24"/>
              </w:rPr>
              <w:t xml:space="preserve"> alunos sobre o seu percurso profissional ou sobre a frequência do curso e </w:t>
            </w:r>
            <w:r w:rsidR="00CF29EC" w:rsidRPr="00CF29EC">
              <w:rPr>
                <w:rFonts w:cs="Arial"/>
                <w:szCs w:val="24"/>
              </w:rPr>
              <w:t>calendarizadas as próximas</w:t>
            </w:r>
            <w:r w:rsidRPr="00CF29EC">
              <w:rPr>
                <w:rFonts w:cs="Arial"/>
                <w:szCs w:val="24"/>
              </w:rPr>
              <w:t xml:space="preserve"> publicações.</w:t>
            </w:r>
          </w:p>
          <w:p w:rsidR="00F07340" w:rsidRPr="00CF29EC" w:rsidRDefault="00F07340" w:rsidP="00CF29EC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CF29EC">
              <w:rPr>
                <w:rFonts w:cs="Arial"/>
                <w:szCs w:val="24"/>
              </w:rPr>
              <w:t xml:space="preserve">Foi feita uma reflexão sobre a necessidade de melhorar a avaliação das atividades realizadas, de preferência com recurso a um questionário de satisfação, com tratamento de dados a incluir nos relatórios (e aproveitar e lembrar que os relatórios são obrigatórios e têm que ficar arquivados na direção, juntamente com a planificação da atividade). </w:t>
            </w:r>
          </w:p>
          <w:p w:rsidR="00F07340" w:rsidRPr="00CF29EC" w:rsidRDefault="00CF29EC" w:rsidP="00CF29EC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 seguida fez-se</w:t>
            </w:r>
            <w:r w:rsidR="00F07340" w:rsidRPr="00CF29EC">
              <w:rPr>
                <w:rFonts w:cs="Arial"/>
                <w:szCs w:val="24"/>
              </w:rPr>
              <w:t xml:space="preserve"> o levantamento dos pontos a </w:t>
            </w:r>
            <w:r>
              <w:rPr>
                <w:rFonts w:cs="Arial"/>
                <w:szCs w:val="24"/>
              </w:rPr>
              <w:t>tratar na elaboração/</w:t>
            </w:r>
            <w:r w:rsidRPr="00CF29EC">
              <w:rPr>
                <w:rFonts w:cs="Arial"/>
                <w:szCs w:val="24"/>
              </w:rPr>
              <w:t xml:space="preserve">melhoria do </w:t>
            </w:r>
            <w:r w:rsidR="00F07340" w:rsidRPr="00CF29EC">
              <w:rPr>
                <w:rFonts w:cs="Arial"/>
                <w:szCs w:val="24"/>
              </w:rPr>
              <w:t xml:space="preserve">Questionário para aplicação aos </w:t>
            </w:r>
            <w:proofErr w:type="spellStart"/>
            <w:r w:rsidR="00F07340" w:rsidRPr="00CF29EC">
              <w:rPr>
                <w:rFonts w:cs="Arial"/>
                <w:szCs w:val="24"/>
              </w:rPr>
              <w:t>ex</w:t>
            </w:r>
            <w:proofErr w:type="spellEnd"/>
            <w:r w:rsidR="00F07340" w:rsidRPr="00CF29EC">
              <w:rPr>
                <w:rFonts w:cs="Arial"/>
                <w:szCs w:val="24"/>
              </w:rPr>
              <w:t xml:space="preserve"> alunos para avaliação das competências mais valorizadas no mercado de trabalho. </w:t>
            </w:r>
          </w:p>
          <w:p w:rsidR="00F07340" w:rsidRPr="00CF29EC" w:rsidRDefault="00CF29EC" w:rsidP="00CF29EC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CF29EC">
              <w:rPr>
                <w:rFonts w:cs="Arial"/>
                <w:szCs w:val="24"/>
              </w:rPr>
              <w:t xml:space="preserve">Posteriormente foi feito o balanço relativo às necessidades e distribuição do </w:t>
            </w:r>
            <w:r w:rsidR="00E90AF4">
              <w:rPr>
                <w:rFonts w:cs="Arial"/>
                <w:szCs w:val="24"/>
              </w:rPr>
              <w:t>f</w:t>
            </w:r>
            <w:r w:rsidR="00F07340" w:rsidRPr="00CF29EC">
              <w:rPr>
                <w:rFonts w:cs="Arial"/>
                <w:szCs w:val="24"/>
              </w:rPr>
              <w:t>ardamento</w:t>
            </w:r>
            <w:r w:rsidR="00E90AF4">
              <w:rPr>
                <w:rFonts w:cs="Arial"/>
                <w:szCs w:val="24"/>
              </w:rPr>
              <w:t xml:space="preserve"> dos alunos.</w:t>
            </w:r>
          </w:p>
        </w:tc>
      </w:tr>
    </w:tbl>
    <w:p w:rsidR="00F07340" w:rsidRPr="003B61E9" w:rsidRDefault="00F07340" w:rsidP="00F07340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F07340" w:rsidRPr="00FF2421" w:rsidTr="00CF29EC">
        <w:trPr>
          <w:trHeight w:val="340"/>
        </w:trPr>
        <w:tc>
          <w:tcPr>
            <w:tcW w:w="5778" w:type="dxa"/>
            <w:shd w:val="clear" w:color="auto" w:fill="EEECE1"/>
          </w:tcPr>
          <w:p w:rsidR="00F07340" w:rsidRPr="00FF2421" w:rsidRDefault="00F07340" w:rsidP="00CF29EC">
            <w:pPr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F07340" w:rsidRPr="00FF2421" w:rsidRDefault="00F07340" w:rsidP="00CF29EC">
            <w:pPr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E90AF4" w:rsidRPr="00FF2421" w:rsidTr="00E90AF4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E90AF4" w:rsidRPr="00FF2421" w:rsidRDefault="00E90AF4" w:rsidP="00E90AF4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 w:rsidRPr="00E90AF4">
              <w:rPr>
                <w:rFonts w:ascii="Calibri" w:hAnsi="Calibri" w:cs="Kokila"/>
                <w:sz w:val="24"/>
                <w:szCs w:val="24"/>
              </w:rPr>
              <w:t>Reunião realizada por zoom</w:t>
            </w: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(Subdiretora do AEV)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(Diretor do Curso TD)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E90AF4" w:rsidRPr="00FF2421" w:rsidTr="00CF29EC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:rsidR="00E90AF4" w:rsidRPr="00FF2421" w:rsidRDefault="00E90AF4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vMerge/>
            <w:shd w:val="clear" w:color="auto" w:fill="auto"/>
          </w:tcPr>
          <w:p w:rsidR="00E90AF4" w:rsidRPr="00FF2421" w:rsidRDefault="00E90AF4" w:rsidP="00CF29E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F07340" w:rsidRPr="003B61E9" w:rsidRDefault="00F07340" w:rsidP="00F07340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F07340" w:rsidRDefault="00F07340" w:rsidP="00F07340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F07340" w:rsidRDefault="00F07340" w:rsidP="00F07340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2E1819" w:rsidRDefault="00F07340" w:rsidP="00CF29E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7689FA6" wp14:editId="13C16FCF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819" w:rsidSect="00CF29EC">
      <w:headerReference w:type="default" r:id="rId9"/>
      <w:footerReference w:type="default" r:id="rId10"/>
      <w:pgSz w:w="11907" w:h="16840" w:code="9"/>
      <w:pgMar w:top="1593" w:right="1418" w:bottom="851" w:left="1418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59" w:rsidRDefault="007A1C59" w:rsidP="00CF29EC">
      <w:r>
        <w:separator/>
      </w:r>
    </w:p>
  </w:endnote>
  <w:endnote w:type="continuationSeparator" w:id="0">
    <w:p w:rsidR="007A1C59" w:rsidRDefault="007A1C59" w:rsidP="00CF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F24AB5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F24AB5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59" w:rsidRDefault="007A1C59" w:rsidP="00CF29EC">
      <w:r>
        <w:separator/>
      </w:r>
    </w:p>
  </w:footnote>
  <w:footnote w:type="continuationSeparator" w:id="0">
    <w:p w:rsidR="007A1C59" w:rsidRDefault="007A1C59" w:rsidP="00CF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F24AB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3FEBB4" wp14:editId="09420DBE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15F216" wp14:editId="52F51B72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02ABC02" wp14:editId="227B592B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7A1C59">
    <w:pPr>
      <w:pStyle w:val="Cabealho"/>
    </w:pPr>
  </w:p>
  <w:p w:rsidR="00257462" w:rsidRDefault="00F24A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88230" wp14:editId="544754C9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0434"/>
    <w:multiLevelType w:val="hybridMultilevel"/>
    <w:tmpl w:val="EA24EF44"/>
    <w:lvl w:ilvl="0" w:tplc="3DF41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40"/>
    <w:rsid w:val="002357DB"/>
    <w:rsid w:val="002E1819"/>
    <w:rsid w:val="007A1C59"/>
    <w:rsid w:val="00CF29EC"/>
    <w:rsid w:val="00E90AF4"/>
    <w:rsid w:val="00F07340"/>
    <w:rsid w:val="00F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0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734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7340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0734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7340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734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7340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0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734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7340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0734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7340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734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734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cp:lastPrinted>2021-01-11T22:52:00Z</cp:lastPrinted>
  <dcterms:created xsi:type="dcterms:W3CDTF">2021-01-18T16:15:00Z</dcterms:created>
  <dcterms:modified xsi:type="dcterms:W3CDTF">2021-01-18T16:15:00Z</dcterms:modified>
</cp:coreProperties>
</file>